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/>
      </w:pPr>
      <w:r>
        <w:rPr/>
        <w:t>“</w:t>
      </w:r>
      <w:r>
        <w:rPr/>
        <w:t>1000 Reasons”</w:t>
      </w:r>
    </w:p>
    <w:p>
      <w:pPr>
        <w:pStyle w:val="Subtitle"/>
        <w:jc w:val="center"/>
        <w:rPr/>
      </w:pPr>
      <w:r>
        <w:rPr/>
        <w:t>Revelation 20:1-15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I. The Four Main Views</w:t>
      </w:r>
    </w:p>
    <w:p>
      <w:pPr>
        <w:pStyle w:val="NoSpacing"/>
        <w:rPr/>
      </w:pPr>
      <w:r>
        <w:rPr>
          <w:b/>
        </w:rPr>
        <w:t>A) Dispensational Premillennialism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 xml:space="preserve">B) Postmillennialism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 xml:space="preserve">C) Amillennialism </w:t>
      </w:r>
    </w:p>
    <w:p>
      <w:pPr>
        <w:pStyle w:val="NoSpacing"/>
        <w:ind w:left="288" w:hanging="0"/>
        <w:rPr/>
      </w:pPr>
      <w:r>
        <w:rPr/>
        <w:t xml:space="preserve">John 5:28-29; </w:t>
      </w:r>
      <w:r>
        <w:rPr>
          <w:rStyle w:val="Text"/>
        </w:rPr>
        <w:t>Daniel 12:2-3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D) Historic Premillennialism</w:t>
      </w:r>
    </w:p>
    <w:p>
      <w:pPr>
        <w:pStyle w:val="NoSpacing"/>
        <w:ind w:firstLine="288"/>
        <w:rPr/>
      </w:pPr>
      <w:r>
        <w:rPr/>
        <w:t>1) “saints will be on the earth during the Tribulation” … Rev 13:7-8</w:t>
      </w:r>
    </w:p>
    <w:p>
      <w:pPr>
        <w:pStyle w:val="NoSpacing"/>
        <w:ind w:left="288" w:hanging="0"/>
        <w:rPr/>
      </w:pPr>
      <w:r>
        <w:rPr/>
        <w:t xml:space="preserve">2) “church is new Israel” … </w:t>
      </w:r>
      <w:r>
        <w:rPr>
          <w:rStyle w:val="Text"/>
        </w:rPr>
        <w:t xml:space="preserve">Gal 6:14-16; Rom 9:6-8; </w:t>
      </w:r>
      <w:r>
        <w:rPr/>
        <w:t>James 1:1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  <w:sz w:val="28"/>
          <w:szCs w:val="28"/>
        </w:rPr>
        <w:t>II. Historic Premillennialism Camp</w:t>
      </w:r>
    </w:p>
    <w:p>
      <w:pPr>
        <w:pStyle w:val="NoSpacing"/>
        <w:rPr/>
      </w:pPr>
      <w:r>
        <w:rPr>
          <w:b/>
        </w:rPr>
        <w:t xml:space="preserve">1) Oldest view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2)</w:t>
      </w:r>
      <w:r>
        <w:rPr/>
        <w:t xml:space="preserve"> </w:t>
      </w:r>
      <w:r>
        <w:rPr>
          <w:b/>
        </w:rPr>
        <w:t>Flaws in other views</w:t>
      </w:r>
    </w:p>
    <w:p>
      <w:pPr>
        <w:pStyle w:val="NoSpacing"/>
        <w:ind w:left="285" w:hanging="0"/>
        <w:rPr/>
      </w:pPr>
      <w:r>
        <w:rPr/>
        <w:t>Amillennial</w:t>
        <w:tab/>
        <w:t>_____________________________________</w:t>
      </w:r>
    </w:p>
    <w:p>
      <w:pPr>
        <w:pStyle w:val="NoSpacing"/>
        <w:ind w:left="285" w:hanging="0"/>
        <w:rPr/>
      </w:pPr>
      <w:r>
        <w:rPr/>
        <w:t xml:space="preserve">Postmillennial </w:t>
        <w:tab/>
        <w:t>__________________________________</w:t>
      </w:r>
    </w:p>
    <w:p>
      <w:pPr>
        <w:pStyle w:val="NoSpacing"/>
        <w:ind w:firstLine="285"/>
        <w:rPr/>
      </w:pPr>
      <w:r>
        <w:rPr/>
        <w:t>Dispensational</w:t>
        <w:tab/>
        <w:t>__________________________________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 xml:space="preserve">3) Best Hermeneutic </w:t>
      </w:r>
      <w:r>
        <w:rPr/>
        <w:t>- literal when _________________, symbolic when __________________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/>
      </w:pPr>
      <w:r>
        <w:rPr>
          <w:rFonts w:eastAsia="Times New Roman" w:cs="Calibri" w:cstheme="minorHAnsi"/>
          <w:b/>
        </w:rPr>
        <w:t xml:space="preserve">4) Justice to Whole Bible and God’s Plan of Redemption </w:t>
      </w:r>
    </w:p>
    <w:p>
      <w:pPr>
        <w:pStyle w:val="NoSpacing"/>
        <w:ind w:firstLine="288"/>
        <w:rPr/>
      </w:pPr>
      <w:r>
        <w:rPr>
          <w:rFonts w:eastAsia="Times New Roman" w:cs="Calibri" w:cstheme="minorHAnsi"/>
        </w:rPr>
        <w:t xml:space="preserve">a) literal 1000 years makes room for OT passages like </w:t>
      </w:r>
    </w:p>
    <w:p>
      <w:pPr>
        <w:pStyle w:val="NoSpacing"/>
        <w:ind w:firstLine="288"/>
        <w:rPr/>
      </w:pPr>
      <w:r>
        <w:rPr>
          <w:rFonts w:eastAsia="Times New Roman" w:cs="Calibri" w:cstheme="minorHAnsi"/>
        </w:rPr>
        <w:t xml:space="preserve">Isaiah 65:17; </w:t>
      </w:r>
      <w:r>
        <w:rPr>
          <w:rStyle w:val="Verse25"/>
          <w:rFonts w:cs="Calibri" w:cstheme="minorHAnsi"/>
        </w:rPr>
        <w:t xml:space="preserve">Isaiah 65: 25; </w:t>
      </w:r>
      <w:r>
        <w:rPr>
          <w:rFonts w:eastAsia="Times New Roman" w:cs="Calibri" w:cstheme="minorHAnsi"/>
        </w:rPr>
        <w:t>Micah 4:1-5</w:t>
      </w:r>
    </w:p>
    <w:p>
      <w:pPr>
        <w:pStyle w:val="NoSpacing"/>
        <w:ind w:firstLine="288"/>
        <w:rPr/>
      </w:pPr>
      <w:r>
        <w:rPr/>
        <w:t>b) stays true redemptive history</w:t>
      </w:r>
    </w:p>
    <w:p>
      <w:pPr>
        <w:pStyle w:val="NoSpacing"/>
        <w:ind w:left="288" w:firstLine="288"/>
        <w:rPr/>
      </w:pPr>
      <w:r>
        <w:rPr/>
        <w:t xml:space="preserve">- makes people of God one in Eph 2 - not ‘two’ again </w:t>
      </w:r>
    </w:p>
    <w:p>
      <w:pPr>
        <w:pStyle w:val="NoSpacing"/>
        <w:ind w:left="288" w:firstLine="288"/>
        <w:rPr/>
      </w:pPr>
      <w:r>
        <w:rPr/>
        <w:t>- makes sense of all passages talk about suffering [thus going through the rapture]</w:t>
      </w:r>
    </w:p>
    <w:p>
      <w:pPr>
        <w:pStyle w:val="NoSpacing"/>
        <w:ind w:firstLine="288"/>
        <w:rPr/>
      </w:pPr>
      <w:r>
        <w:rPr>
          <w:b/>
        </w:rPr>
        <w:t>c)</w:t>
      </w:r>
      <w:r>
        <w:rPr/>
        <w:t xml:space="preserve"> recognizes the power of conquering gospel BUT in a fallen world of evil and suffering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sz w:val="28"/>
          <w:szCs w:val="28"/>
        </w:rPr>
        <w:t xml:space="preserve">III. What Difference Does It Make?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A) Christians Obviously Differ</w:t>
      </w:r>
    </w:p>
    <w:p>
      <w:pPr>
        <w:pStyle w:val="NoSpacing"/>
        <w:ind w:firstLine="288"/>
        <w:rPr/>
      </w:pPr>
      <w:r>
        <w:rPr>
          <w:b/>
        </w:rPr>
        <w:t xml:space="preserve">How to Disagree.  </w:t>
      </w:r>
    </w:p>
    <w:p>
      <w:pPr>
        <w:pStyle w:val="NoSpacing"/>
        <w:ind w:firstLine="288"/>
        <w:rPr/>
      </w:pPr>
      <w:r>
        <w:rPr/>
        <w:t xml:space="preserve">1) The importance of healthy disagreement. </w:t>
      </w:r>
    </w:p>
    <w:p>
      <w:pPr>
        <w:pStyle w:val="NoSpacing"/>
        <w:ind w:firstLine="288"/>
        <w:rPr/>
      </w:pPr>
      <w:r>
        <w:rPr/>
        <w:t xml:space="preserve">2) Take disagreement as a personal attack, harbor harsh feelings or judgmental attitudes </w:t>
      </w:r>
    </w:p>
    <w:p>
      <w:pPr>
        <w:pStyle w:val="NoSpacing"/>
        <w:ind w:firstLine="288"/>
        <w:rPr/>
      </w:pPr>
      <w:r>
        <w:rPr/>
        <w:t xml:space="preserve">3) Disagreement can make each stronger </w:t>
      </w:r>
    </w:p>
    <w:p>
      <w:pPr>
        <w:pStyle w:val="NoSpacing"/>
        <w:rPr/>
      </w:pPr>
      <w:r>
        <w:rPr/>
        <w:tab/>
        <w:tab/>
        <w:t xml:space="preserve">a) usually both sides of an argument contain some truth </w:t>
      </w:r>
    </w:p>
    <w:p>
      <w:pPr>
        <w:pStyle w:val="NoSpacing"/>
        <w:rPr/>
      </w:pPr>
      <w:r>
        <w:rPr/>
        <w:tab/>
        <w:tab/>
        <w:t>b) causes you to really research [most people do not]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 xml:space="preserve">B) Some Dangers to Christians </w:t>
      </w:r>
    </w:p>
    <w:p>
      <w:pPr>
        <w:pStyle w:val="NoSpacing"/>
        <w:ind w:left="288" w:hanging="0"/>
        <w:rPr/>
      </w:pPr>
      <w:r>
        <w:rPr/>
        <w:t xml:space="preserve">1) Danger of Status Quo Christianity </w:t>
      </w:r>
    </w:p>
    <w:p>
      <w:pPr>
        <w:pStyle w:val="NoSpacing"/>
        <w:ind w:firstLine="288"/>
        <w:rPr/>
      </w:pPr>
      <w:r>
        <w:rPr/>
        <w:t>2) Danger of Separatist</w:t>
      </w:r>
    </w:p>
    <w:p>
      <w:pPr>
        <w:pStyle w:val="NoSpacing"/>
        <w:ind w:firstLine="288"/>
        <w:rPr/>
      </w:pPr>
      <w:r>
        <w:rPr/>
        <w:t>3) Matthew 16:2-4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99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ntium Bas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0499987"/>
    </w:sdtPr>
    <w:sdtContent>
      <w:p>
        <w:pPr>
          <w:pStyle w:val="Footer"/>
          <w:jc w:val="right"/>
          <w:rPr/>
        </w:pPr>
        <w:r>
          <w:drawing>
            <wp:anchor behindDoc="1" distT="0" distB="6350" distL="114300" distR="114300" simplePos="0" locked="0" layoutInCell="1" allowOverlap="1" relativeHeight="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0"/>
              <wp:wrapSquare wrapText="bothSides"/>
              <wp:docPr id="1" name="Picture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</w:r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Bruce Chick</w:t>
      <w:tab/>
      <w:tab/>
    </w:r>
    <w:r>
      <w:rPr/>
      <w:fldChar w:fldCharType="begin"/>
    </w:r>
    <w:r>
      <w:rPr/>
      <w:instrText> DATE \@"MMMM\ d', 'yyyy" </w:instrText>
    </w:r>
    <w:r>
      <w:rPr/>
      <w:fldChar w:fldCharType="separate"/>
    </w:r>
    <w:r>
      <w:rPr/>
      <w:t>September 2, 2018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28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7275a"/>
    <w:pPr>
      <w:widowControl/>
      <w:bidi w:val="0"/>
      <w:spacing w:lineRule="auto" w:line="276" w:before="0" w:after="20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 w:val="true"/>
      <w:keepLines/>
      <w:spacing w:before="40" w:after="0"/>
      <w:outlineLvl w:val="1"/>
    </w:pPr>
    <w:rPr>
      <w:rFonts w:eastAsia="" w:cs="" w:cstheme="majorBidi" w:eastAsiaTheme="majorEastAsia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275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2751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275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7275a"/>
    <w:rPr>
      <w:rFonts w:ascii="Gentium Basic" w:hAnsi="Gentium Basic" w:eastAsia="" w:cs="" w:cstheme="majorBidi" w:eastAsiaTheme="majorEastAsia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7275a"/>
    <w:rPr>
      <w:rFonts w:ascii="Gentium Basic" w:hAnsi="Gentium Basic" w:eastAsia="" w:cs="" w:cstheme="majorBidi" w:eastAsiaTheme="majorEastAsia"/>
      <w:color w:val="365F91" w:themeColor="accent1" w:themeShade="bf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a7275a"/>
    <w:rPr>
      <w:rFonts w:ascii="Gentium Basic" w:hAnsi="Gentium Basic" w:eastAsia="" w:cs="" w:cstheme="majorBidi" w:eastAsiaTheme="majorEastAsia"/>
      <w:b/>
      <w:bCs/>
      <w:spacing w:val="-10"/>
      <w:kern w:val="2"/>
      <w:sz w:val="3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7275a"/>
    <w:rPr>
      <w:rFonts w:ascii="Gentium Basic" w:hAnsi="Gentium Basic" w:eastAsia="" w:cs="" w:cstheme="minorBidi" w:eastAsiaTheme="minorEastAsia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styleId="Text">
    <w:name w:val="text"/>
    <w:basedOn w:val="DefaultParagraphFont"/>
    <w:qFormat/>
    <w:rPr/>
  </w:style>
  <w:style w:type="character" w:styleId="Verse25">
    <w:name w:val="verse-25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7275a"/>
    <w:pPr>
      <w:widowControl/>
      <w:bidi w:val="0"/>
      <w:spacing w:lineRule="auto" w:line="240" w:before="0" w:after="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7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lineRule="auto" w:line="240" w:before="0" w:after="0"/>
      <w:contextualSpacing/>
    </w:pPr>
    <w:rPr>
      <w:rFonts w:eastAsia="" w:cs="" w:cstheme="majorBidi" w:eastAsiaTheme="majorEastAsia"/>
      <w:b/>
      <w:bCs/>
      <w:spacing w:val="-10"/>
      <w:kern w:val="2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spacing w:before="0" w:after="160"/>
    </w:pPr>
    <w:rPr>
      <w:rFonts w:eastAsia="" w:cs="" w:cstheme="minorBidi" w:eastAsiaTheme="minorEastAsia"/>
      <w:color w:val="5A5A5A" w:themeColor="text1" w:themeTint="a5"/>
      <w:spacing w:val="15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57AC-419B-E84A-A1EB-28BD2214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LibreOffice/6.0.2.1$Windows_X86_64 LibreOffice_project/f7f06a8f319e4b62f9bc5095aa112a65d2f3ac89</Application>
  <Pages>1</Pages>
  <Words>233</Words>
  <Characters>1311</Characters>
  <CharactersWithSpaces>1529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2015-11-22T14:26:00Z</dcterms:created>
  <dc:creator>Bruce Chick</dc:creator>
  <dc:description/>
  <dc:language>en-US</dc:language>
  <cp:lastModifiedBy/>
  <dcterms:modified xsi:type="dcterms:W3CDTF">2018-09-02T09:34:58Z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2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